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A3E61" w14:textId="77777777" w:rsidR="00032665" w:rsidRDefault="00032665" w:rsidP="00E400D7">
      <w:pPr>
        <w:spacing w:before="129"/>
        <w:ind w:left="100"/>
        <w:rPr>
          <w:rFonts w:ascii="Arial" w:hAnsi="Arial" w:cs="Arial"/>
          <w:color w:val="0090A3"/>
          <w:sz w:val="40"/>
          <w:szCs w:val="40"/>
        </w:rPr>
      </w:pPr>
    </w:p>
    <w:p w14:paraId="7F4D22F0" w14:textId="77777777" w:rsidR="00032665" w:rsidRDefault="006B4EC8" w:rsidP="00E400D7">
      <w:pPr>
        <w:spacing w:before="129"/>
        <w:ind w:left="100"/>
        <w:rPr>
          <w:b/>
          <w:sz w:val="20"/>
        </w:rPr>
      </w:pPr>
      <w:r w:rsidRPr="007B39ED">
        <w:rPr>
          <w:rFonts w:ascii="Arial" w:hAnsi="Arial" w:cs="Arial"/>
          <w:b/>
          <w:bCs/>
          <w:color w:val="0090A3"/>
          <w:sz w:val="40"/>
          <w:szCs w:val="40"/>
        </w:rPr>
        <w:t>Self-assessment tool</w:t>
      </w:r>
      <w:r w:rsidRPr="00E400D7">
        <w:rPr>
          <w:rFonts w:ascii="Arial" w:hAnsi="Arial" w:cs="Arial"/>
          <w:color w:val="0090A3"/>
          <w:sz w:val="40"/>
          <w:szCs w:val="40"/>
        </w:rPr>
        <w:t xml:space="preserve"> for IMG GP registrars</w:t>
      </w:r>
      <w:r w:rsidRPr="006B4EC8">
        <w:rPr>
          <w:b/>
          <w:sz w:val="20"/>
        </w:rPr>
        <w:t xml:space="preserve"> </w:t>
      </w:r>
      <w:r w:rsidR="00E400D7">
        <w:rPr>
          <w:b/>
          <w:sz w:val="20"/>
        </w:rPr>
        <w:br/>
      </w:r>
    </w:p>
    <w:p w14:paraId="53430E99" w14:textId="3077CF01" w:rsidR="00E400D7" w:rsidRPr="00F90C55" w:rsidRDefault="006B4EC8" w:rsidP="00E400D7">
      <w:pPr>
        <w:spacing w:before="129"/>
        <w:ind w:left="100"/>
        <w:rPr>
          <w:rFonts w:ascii="Arial" w:hAnsi="Arial" w:cs="Arial"/>
          <w:b/>
          <w:bCs/>
          <w:sz w:val="20"/>
        </w:rPr>
      </w:pPr>
      <w:r w:rsidRPr="00F90C55">
        <w:rPr>
          <w:rFonts w:ascii="Arial" w:hAnsi="Arial" w:cs="Arial"/>
          <w:b/>
          <w:bCs/>
          <w:sz w:val="20"/>
        </w:rPr>
        <w:t>Instructions</w:t>
      </w:r>
    </w:p>
    <w:p w14:paraId="3D36C11A" w14:textId="4D425FA0" w:rsidR="006B4EC8" w:rsidRDefault="006B4EC8" w:rsidP="00E400D7">
      <w:pPr>
        <w:spacing w:before="129"/>
        <w:ind w:left="100"/>
        <w:rPr>
          <w:rFonts w:ascii="Arial" w:hAnsi="Arial" w:cs="Arial"/>
          <w:sz w:val="20"/>
          <w:szCs w:val="20"/>
        </w:rPr>
      </w:pPr>
      <w:r w:rsidRPr="006B4EC8">
        <w:rPr>
          <w:rFonts w:ascii="Arial" w:hAnsi="Arial" w:cs="Arial"/>
          <w:sz w:val="20"/>
          <w:szCs w:val="20"/>
        </w:rPr>
        <w:t>Complete the following self-assessment tool by rating yourself for each item where 1 – very good, 2 – good, 3 – poor,</w:t>
      </w:r>
      <w:r w:rsidRPr="006B4EC8">
        <w:rPr>
          <w:rFonts w:ascii="Arial" w:hAnsi="Arial" w:cs="Arial"/>
          <w:spacing w:val="-53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and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4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–</w:t>
      </w:r>
      <w:r w:rsidRPr="006B4EC8">
        <w:rPr>
          <w:rFonts w:ascii="Arial" w:hAnsi="Arial" w:cs="Arial"/>
          <w:spacing w:val="-4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very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poor.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Include</w:t>
      </w:r>
      <w:r w:rsidRPr="006B4EC8">
        <w:rPr>
          <w:rFonts w:ascii="Arial" w:hAnsi="Arial" w:cs="Arial"/>
          <w:spacing w:val="-4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comments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where</w:t>
      </w:r>
      <w:r w:rsidRPr="006B4EC8">
        <w:rPr>
          <w:rFonts w:ascii="Arial" w:hAnsi="Arial" w:cs="Arial"/>
          <w:spacing w:val="-4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relevant.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Discuss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with</w:t>
      </w:r>
      <w:r w:rsidRPr="006B4EC8">
        <w:rPr>
          <w:rFonts w:ascii="Arial" w:hAnsi="Arial" w:cs="Arial"/>
          <w:spacing w:val="-4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your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supervisor</w:t>
      </w:r>
      <w:r w:rsidRPr="006B4EC8">
        <w:rPr>
          <w:rFonts w:ascii="Arial" w:hAnsi="Arial" w:cs="Arial"/>
          <w:spacing w:val="-4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once</w:t>
      </w:r>
      <w:r w:rsidRPr="006B4EC8">
        <w:rPr>
          <w:rFonts w:ascii="Arial" w:hAnsi="Arial" w:cs="Arial"/>
          <w:spacing w:val="-5"/>
          <w:sz w:val="20"/>
          <w:szCs w:val="20"/>
        </w:rPr>
        <w:t xml:space="preserve"> </w:t>
      </w:r>
      <w:r w:rsidRPr="006B4EC8">
        <w:rPr>
          <w:rFonts w:ascii="Arial" w:hAnsi="Arial" w:cs="Arial"/>
          <w:sz w:val="20"/>
          <w:szCs w:val="20"/>
        </w:rPr>
        <w:t>completed.</w:t>
      </w:r>
    </w:p>
    <w:p w14:paraId="065B6282" w14:textId="77777777" w:rsidR="00032665" w:rsidRPr="006B4EC8" w:rsidRDefault="00032665" w:rsidP="00E400D7">
      <w:pPr>
        <w:spacing w:before="129"/>
        <w:ind w:left="100"/>
        <w:rPr>
          <w:rFonts w:ascii="Arial" w:hAnsi="Arial" w:cs="Arial"/>
          <w:sz w:val="20"/>
          <w:szCs w:val="20"/>
        </w:rPr>
      </w:pPr>
    </w:p>
    <w:tbl>
      <w:tblPr>
        <w:tblW w:w="10233" w:type="dxa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883"/>
        <w:gridCol w:w="3858"/>
        <w:gridCol w:w="2662"/>
      </w:tblGrid>
      <w:tr w:rsidR="006B4EC8" w:rsidRPr="00F90C55" w14:paraId="6BDA133C" w14:textId="77777777" w:rsidTr="00F90C55">
        <w:trPr>
          <w:trHeight w:val="526"/>
        </w:trPr>
        <w:tc>
          <w:tcPr>
            <w:tcW w:w="2830" w:type="dxa"/>
            <w:tcBorders>
              <w:top w:val="single" w:sz="4" w:space="0" w:color="0090A3"/>
              <w:left w:val="single" w:sz="4" w:space="0" w:color="0090A3"/>
              <w:bottom w:val="single" w:sz="4" w:space="0" w:color="0090A3"/>
              <w:right w:val="single" w:sz="4" w:space="0" w:color="0090A3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789ACF78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Cultural aspects</w:t>
            </w:r>
          </w:p>
        </w:tc>
        <w:tc>
          <w:tcPr>
            <w:tcW w:w="883" w:type="dxa"/>
            <w:tcBorders>
              <w:top w:val="single" w:sz="4" w:space="0" w:color="0090A3"/>
              <w:left w:val="single" w:sz="4" w:space="0" w:color="0090A3"/>
              <w:bottom w:val="single" w:sz="4" w:space="0" w:color="0090A3"/>
              <w:right w:val="single" w:sz="4" w:space="0" w:color="0090A3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6616244E" w14:textId="77777777" w:rsidR="006B4EC8" w:rsidRPr="00F90C55" w:rsidRDefault="006B4EC8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Rating 1-4</w:t>
            </w:r>
          </w:p>
        </w:tc>
        <w:tc>
          <w:tcPr>
            <w:tcW w:w="3858" w:type="dxa"/>
            <w:tcBorders>
              <w:top w:val="single" w:sz="4" w:space="0" w:color="0090A3"/>
              <w:left w:val="single" w:sz="4" w:space="0" w:color="0090A3"/>
              <w:bottom w:val="single" w:sz="4" w:space="0" w:color="0090A3"/>
              <w:right w:val="single" w:sz="4" w:space="0" w:color="0090A3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7A7BABF5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Comments</w:t>
            </w:r>
          </w:p>
        </w:tc>
        <w:tc>
          <w:tcPr>
            <w:tcW w:w="2662" w:type="dxa"/>
            <w:tcBorders>
              <w:top w:val="single" w:sz="4" w:space="0" w:color="0090A3"/>
              <w:left w:val="single" w:sz="4" w:space="0" w:color="0090A3"/>
              <w:bottom w:val="single" w:sz="4" w:space="0" w:color="0090A3"/>
              <w:right w:val="single" w:sz="4" w:space="0" w:color="0090A3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7580DE38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Resources</w:t>
            </w:r>
          </w:p>
        </w:tc>
      </w:tr>
      <w:tr w:rsidR="006B4EC8" w:rsidRPr="00F90C55" w14:paraId="2D466460" w14:textId="77777777" w:rsidTr="00F90C55">
        <w:trPr>
          <w:trHeight w:val="1782"/>
        </w:trPr>
        <w:tc>
          <w:tcPr>
            <w:tcW w:w="2830" w:type="dxa"/>
            <w:tcBorders>
              <w:top w:val="single" w:sz="4" w:space="0" w:color="0090A3"/>
            </w:tcBorders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2820DF9B" w14:textId="77777777" w:rsidR="006B4EC8" w:rsidRPr="00F90C55" w:rsidRDefault="006B4EC8" w:rsidP="00F90C55">
            <w:pPr>
              <w:pStyle w:val="TableParagraph"/>
              <w:spacing w:before="42" w:line="278" w:lineRule="auto"/>
              <w:ind w:left="142" w:right="194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Understanding of the Australian health care system, Medicare, PBS and the Australian ‘medical culture’</w:t>
            </w:r>
          </w:p>
        </w:tc>
        <w:tc>
          <w:tcPr>
            <w:tcW w:w="883" w:type="dxa"/>
            <w:tcBorders>
              <w:top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102F0C10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Borders>
              <w:top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77EE719D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11898FE5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Toolkit –</w:t>
            </w:r>
          </w:p>
          <w:p w14:paraId="65620168" w14:textId="76870DC6" w:rsidR="006B4EC8" w:rsidRPr="00F90C55" w:rsidRDefault="00DA1ADB" w:rsidP="00F90C55">
            <w:pPr>
              <w:pStyle w:val="TableParagraph"/>
              <w:spacing w:before="33" w:line="278" w:lineRule="auto"/>
              <w:ind w:left="142" w:right="1395"/>
              <w:rPr>
                <w:rFonts w:ascii="Arial" w:hAnsi="Arial" w:cs="Arial"/>
                <w:sz w:val="20"/>
              </w:rPr>
            </w:pPr>
            <w:hyperlink r:id="rId6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Fact sheet 1.6</w:t>
              </w:r>
            </w:hyperlink>
            <w:r w:rsidR="006B4EC8" w:rsidRPr="00F90C55">
              <w:rPr>
                <w:rFonts w:ascii="Arial" w:hAnsi="Arial" w:cs="Arial"/>
                <w:color w:val="00AEEF"/>
                <w:sz w:val="20"/>
              </w:rPr>
              <w:t xml:space="preserve"> </w:t>
            </w:r>
            <w:hyperlink r:id="rId7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Fact sheet 1.7</w:t>
              </w:r>
            </w:hyperlink>
          </w:p>
          <w:p w14:paraId="7BDCDBFA" w14:textId="77777777" w:rsidR="006B4EC8" w:rsidRPr="00F90C55" w:rsidRDefault="00DA1ADB" w:rsidP="00F90C55">
            <w:pPr>
              <w:pStyle w:val="TableParagraph"/>
              <w:spacing w:line="278" w:lineRule="auto"/>
              <w:ind w:left="142"/>
              <w:rPr>
                <w:rFonts w:ascii="Arial" w:hAnsi="Arial" w:cs="Arial"/>
                <w:sz w:val="20"/>
              </w:rPr>
            </w:pPr>
            <w:hyperlink r:id="rId8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MBS education for health</w:t>
              </w:r>
            </w:hyperlink>
            <w:r w:rsidR="006B4EC8" w:rsidRPr="00F90C55">
              <w:rPr>
                <w:rFonts w:ascii="Arial" w:hAnsi="Arial" w:cs="Arial"/>
                <w:color w:val="00AEEF"/>
                <w:sz w:val="20"/>
              </w:rPr>
              <w:t xml:space="preserve"> </w:t>
            </w:r>
            <w:hyperlink r:id="rId9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professionals</w:t>
              </w:r>
            </w:hyperlink>
          </w:p>
          <w:p w14:paraId="62F006EC" w14:textId="77777777" w:rsidR="006B4EC8" w:rsidRPr="00F90C55" w:rsidRDefault="00DA1ADB" w:rsidP="00F90C55">
            <w:pPr>
              <w:pStyle w:val="TableParagraph"/>
              <w:spacing w:before="23" w:line="240" w:lineRule="atLeast"/>
              <w:ind w:left="142"/>
              <w:rPr>
                <w:rFonts w:ascii="Arial" w:hAnsi="Arial" w:cs="Arial"/>
                <w:sz w:val="20"/>
              </w:rPr>
            </w:pPr>
            <w:hyperlink r:id="rId10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PBS education for health</w:t>
              </w:r>
            </w:hyperlink>
            <w:r w:rsidR="006B4EC8" w:rsidRPr="00F90C55">
              <w:rPr>
                <w:rFonts w:ascii="Arial" w:hAnsi="Arial" w:cs="Arial"/>
                <w:color w:val="00AEEF"/>
                <w:sz w:val="20"/>
              </w:rPr>
              <w:t xml:space="preserve"> </w:t>
            </w:r>
            <w:hyperlink r:id="rId11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professionals</w:t>
              </w:r>
            </w:hyperlink>
          </w:p>
        </w:tc>
      </w:tr>
      <w:tr w:rsidR="006B4EC8" w:rsidRPr="00F90C55" w14:paraId="525EFFBD" w14:textId="77777777" w:rsidTr="00F90C55">
        <w:trPr>
          <w:trHeight w:val="592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00858C26" w14:textId="77777777" w:rsidR="006B4EC8" w:rsidRPr="00F90C55" w:rsidRDefault="006B4EC8" w:rsidP="00F90C55">
            <w:pPr>
              <w:pStyle w:val="TableParagraph"/>
              <w:spacing w:before="42" w:line="278" w:lineRule="auto"/>
              <w:ind w:left="142" w:right="498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Understanding of Australian culture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1E5E360B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1F4C0C3B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437DF64F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B4EC8" w:rsidRPr="00F90C55" w14:paraId="7BA0B90D" w14:textId="77777777" w:rsidTr="00F90C55">
        <w:trPr>
          <w:trHeight w:val="766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2185DF50" w14:textId="77777777" w:rsidR="006B4EC8" w:rsidRPr="00F90C55" w:rsidRDefault="006B4EC8" w:rsidP="00F90C55">
            <w:pPr>
              <w:pStyle w:val="TableParagraph"/>
              <w:spacing w:before="8" w:line="240" w:lineRule="atLeast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Cultural capability, including Aboriginal and Torres Strait Islander people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27D4B7E3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269F3F4E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464C63E2" w14:textId="6F88B873" w:rsidR="006B4EC8" w:rsidRPr="00F90C55" w:rsidRDefault="00DA1ADB" w:rsidP="00F90C55">
            <w:pPr>
              <w:pStyle w:val="TableParagraph"/>
              <w:spacing w:before="9" w:line="240" w:lineRule="atLeast"/>
              <w:ind w:left="142" w:right="322"/>
              <w:rPr>
                <w:rFonts w:ascii="Arial" w:hAnsi="Arial" w:cs="Arial"/>
                <w:sz w:val="20"/>
              </w:rPr>
            </w:pPr>
            <w:hyperlink r:id="rId12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GPSA guide Aboriginal and</w:t>
              </w:r>
            </w:hyperlink>
            <w:r w:rsidR="006B4EC8" w:rsidRPr="00F90C55">
              <w:rPr>
                <w:rFonts w:ascii="Arial" w:hAnsi="Arial" w:cs="Arial"/>
                <w:color w:val="00AEEF"/>
                <w:sz w:val="20"/>
              </w:rPr>
              <w:t xml:space="preserve"> </w:t>
            </w:r>
            <w:hyperlink r:id="rId13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Torres Strait Islander Health in</w:t>
              </w:r>
            </w:hyperlink>
            <w:r w:rsidR="006B4EC8" w:rsidRPr="00F90C55">
              <w:rPr>
                <w:rFonts w:ascii="Arial" w:hAnsi="Arial" w:cs="Arial"/>
                <w:color w:val="00AEEF"/>
                <w:sz w:val="20"/>
              </w:rPr>
              <w:t xml:space="preserve"> </w:t>
            </w:r>
            <w:hyperlink r:id="rId14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General Practice</w:t>
              </w:r>
            </w:hyperlink>
          </w:p>
        </w:tc>
      </w:tr>
      <w:tr w:rsidR="006B4EC8" w:rsidRPr="00F90C55" w14:paraId="1B9E7EB2" w14:textId="77777777" w:rsidTr="00F90C55">
        <w:trPr>
          <w:trHeight w:val="391"/>
        </w:trPr>
        <w:tc>
          <w:tcPr>
            <w:tcW w:w="2830" w:type="dxa"/>
            <w:tcBorders>
              <w:bottom w:val="single" w:sz="4" w:space="0" w:color="0090A3"/>
            </w:tcBorders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5FE833C3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tcBorders>
              <w:bottom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6A16AC69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Borders>
              <w:bottom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02E1198E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109E1529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B4EC8" w:rsidRPr="00F90C55" w14:paraId="55000D49" w14:textId="77777777" w:rsidTr="00F90C55">
        <w:trPr>
          <w:trHeight w:val="288"/>
        </w:trPr>
        <w:tc>
          <w:tcPr>
            <w:tcW w:w="7571" w:type="dxa"/>
            <w:gridSpan w:val="3"/>
            <w:tcBorders>
              <w:top w:val="single" w:sz="4" w:space="0" w:color="0090A3"/>
              <w:left w:val="single" w:sz="4" w:space="0" w:color="0090A3"/>
              <w:bottom w:val="single" w:sz="4" w:space="0" w:color="0090A3"/>
              <w:right w:val="single" w:sz="4" w:space="0" w:color="0090A3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2A6F3102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Communication skills</w:t>
            </w:r>
          </w:p>
        </w:tc>
        <w:tc>
          <w:tcPr>
            <w:tcW w:w="2662" w:type="dxa"/>
            <w:tcBorders>
              <w:top w:val="single" w:sz="4" w:space="0" w:color="0090A3"/>
              <w:left w:val="single" w:sz="4" w:space="0" w:color="0090A3"/>
              <w:bottom w:val="single" w:sz="4" w:space="0" w:color="0090A3"/>
              <w:right w:val="single" w:sz="4" w:space="0" w:color="0090A3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06B7D200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B4EC8" w:rsidRPr="00F90C55" w14:paraId="3F88B3A4" w14:textId="77777777" w:rsidTr="00F90C55">
        <w:trPr>
          <w:trHeight w:val="582"/>
        </w:trPr>
        <w:tc>
          <w:tcPr>
            <w:tcW w:w="2830" w:type="dxa"/>
            <w:tcBorders>
              <w:top w:val="single" w:sz="4" w:space="0" w:color="0090A3"/>
            </w:tcBorders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7E0A87B3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Spoken English</w:t>
            </w:r>
          </w:p>
        </w:tc>
        <w:tc>
          <w:tcPr>
            <w:tcW w:w="883" w:type="dxa"/>
            <w:tcBorders>
              <w:top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7504EA97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Borders>
              <w:top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58A899C4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top w:val="single" w:sz="4" w:space="0" w:color="0090A3"/>
            </w:tcBorders>
            <w:tcMar>
              <w:top w:w="11" w:type="dxa"/>
              <w:bottom w:w="11" w:type="dxa"/>
              <w:right w:w="11" w:type="dxa"/>
            </w:tcMar>
          </w:tcPr>
          <w:p w14:paraId="571FD83B" w14:textId="77777777" w:rsidR="006B4EC8" w:rsidRPr="00F90C55" w:rsidRDefault="00DA1ADB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hyperlink r:id="rId15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Doctors Speak Up</w:t>
              </w:r>
            </w:hyperlink>
          </w:p>
          <w:p w14:paraId="7BB73C14" w14:textId="77777777" w:rsidR="006B4EC8" w:rsidRPr="00F90C55" w:rsidRDefault="00DA1ADB" w:rsidP="00F90C55">
            <w:pPr>
              <w:pStyle w:val="TableParagraph"/>
              <w:spacing w:before="90"/>
              <w:ind w:left="142"/>
              <w:rPr>
                <w:rFonts w:ascii="Arial" w:hAnsi="Arial" w:cs="Arial"/>
                <w:sz w:val="20"/>
              </w:rPr>
            </w:pPr>
            <w:hyperlink r:id="rId16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Star pronunciation</w:t>
              </w:r>
            </w:hyperlink>
          </w:p>
        </w:tc>
      </w:tr>
      <w:tr w:rsidR="006B4EC8" w:rsidRPr="00F90C55" w14:paraId="7F962E37" w14:textId="77777777" w:rsidTr="00F90C55">
        <w:trPr>
          <w:trHeight w:val="400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7A607577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Non-verbal communication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61873CBB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1C31BE5B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3B607C88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B4EC8" w:rsidRPr="00F90C55" w14:paraId="4E3AA352" w14:textId="77777777" w:rsidTr="00F90C55">
        <w:trPr>
          <w:trHeight w:val="381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3F77F8C1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Written English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788ED8DB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1B22341C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0A35D50A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6B4EC8" w:rsidRPr="00F90C55" w14:paraId="6B2D7E4C" w14:textId="77777777" w:rsidTr="00F90C55">
        <w:trPr>
          <w:trHeight w:val="822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3A984D97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Understanding Australian slang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7FE57AA9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219F9950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7E7D90CD" w14:textId="7BC6B493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 xml:space="preserve">Toolkit – Factsheets </w:t>
            </w:r>
            <w:hyperlink r:id="rId17">
              <w:r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4.17</w:t>
              </w:r>
            </w:hyperlink>
            <w:r w:rsidRPr="00F90C55">
              <w:rPr>
                <w:rFonts w:ascii="Arial" w:hAnsi="Arial" w:cs="Arial"/>
                <w:sz w:val="20"/>
              </w:rPr>
              <w:t xml:space="preserve">, </w:t>
            </w:r>
            <w:hyperlink r:id="rId18">
              <w:r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4.18</w:t>
              </w:r>
            </w:hyperlink>
            <w:r w:rsidRPr="00F90C55">
              <w:rPr>
                <w:rFonts w:ascii="Arial" w:hAnsi="Arial" w:cs="Arial"/>
                <w:sz w:val="20"/>
              </w:rPr>
              <w:t>,</w:t>
            </w:r>
            <w:r w:rsidR="00F90C55">
              <w:rPr>
                <w:rFonts w:ascii="Arial" w:hAnsi="Arial" w:cs="Arial"/>
                <w:sz w:val="20"/>
              </w:rPr>
              <w:t xml:space="preserve"> </w:t>
            </w:r>
            <w:hyperlink r:id="rId19">
              <w:r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4.19</w:t>
              </w:r>
            </w:hyperlink>
          </w:p>
          <w:p w14:paraId="3229083B" w14:textId="77777777" w:rsidR="006B4EC8" w:rsidRPr="00F90C55" w:rsidRDefault="00DA1ADB" w:rsidP="00F90C55">
            <w:pPr>
              <w:pStyle w:val="TableParagraph"/>
              <w:spacing w:before="90"/>
              <w:ind w:left="142"/>
              <w:rPr>
                <w:rFonts w:ascii="Arial" w:hAnsi="Arial" w:cs="Arial"/>
                <w:sz w:val="20"/>
              </w:rPr>
            </w:pPr>
            <w:hyperlink r:id="rId20">
              <w:r w:rsidR="006B4EC8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I feel crook, Doc!</w:t>
              </w:r>
            </w:hyperlink>
          </w:p>
        </w:tc>
      </w:tr>
      <w:tr w:rsidR="006B4EC8" w:rsidRPr="00F90C55" w14:paraId="3D80CCE6" w14:textId="77777777" w:rsidTr="00F90C55">
        <w:trPr>
          <w:trHeight w:val="766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4B5312A9" w14:textId="77777777" w:rsidR="006B4EC8" w:rsidRPr="00F90C55" w:rsidRDefault="006B4EC8" w:rsidP="00F90C55">
            <w:pPr>
              <w:pStyle w:val="TableParagraph"/>
              <w:spacing w:before="9" w:line="240" w:lineRule="atLeast"/>
              <w:ind w:left="142" w:right="194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Communication in challenging scenarios e.g. breaking bad news, saying no to patients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4CFFAA58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0736E0B7" w14:textId="77777777" w:rsidR="006B4EC8" w:rsidRPr="00C75A8A" w:rsidRDefault="006B4EC8" w:rsidP="00F90C55">
            <w:pPr>
              <w:pStyle w:val="TableParagraph"/>
              <w:ind w:left="142"/>
              <w:rPr>
                <w:rFonts w:ascii="Arial" w:hAnsi="Arial" w:cs="Arial"/>
                <w:color w:val="00B0F0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5F5791CA" w14:textId="1BF4A78D" w:rsidR="006B4EC8" w:rsidRPr="00C75A8A" w:rsidRDefault="00C75A8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00B0F0"/>
                <w:sz w:val="20"/>
              </w:rPr>
            </w:pPr>
            <w:hyperlink r:id="rId21" w:history="1">
              <w:r w:rsidR="006B4EC8" w:rsidRPr="00C75A8A">
                <w:rPr>
                  <w:rStyle w:val="Hyperlink"/>
                  <w:rFonts w:ascii="Arial" w:hAnsi="Arial" w:cs="Arial"/>
                  <w:color w:val="00B0F0"/>
                  <w:sz w:val="20"/>
                </w:rPr>
                <w:t>Toolkit</w:t>
              </w:r>
            </w:hyperlink>
          </w:p>
        </w:tc>
      </w:tr>
      <w:tr w:rsidR="006B4EC8" w:rsidRPr="00F90C55" w14:paraId="36E93BEF" w14:textId="77777777" w:rsidTr="00F90C55">
        <w:trPr>
          <w:trHeight w:val="359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11415738" w14:textId="77777777" w:rsidR="006B4EC8" w:rsidRPr="00F90C55" w:rsidRDefault="006B4EC8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tcMar>
              <w:top w:w="11" w:type="dxa"/>
              <w:bottom w:w="11" w:type="dxa"/>
              <w:right w:w="11" w:type="dxa"/>
            </w:tcMar>
          </w:tcPr>
          <w:p w14:paraId="12BBB3A6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Borders>
              <w:bottom w:val="single" w:sz="4" w:space="0" w:color="939598"/>
            </w:tcBorders>
            <w:tcMar>
              <w:top w:w="11" w:type="dxa"/>
              <w:bottom w:w="11" w:type="dxa"/>
              <w:right w:w="11" w:type="dxa"/>
            </w:tcMar>
          </w:tcPr>
          <w:p w14:paraId="45E7928A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939598"/>
            </w:tcBorders>
            <w:tcMar>
              <w:top w:w="11" w:type="dxa"/>
              <w:bottom w:w="11" w:type="dxa"/>
              <w:right w:w="11" w:type="dxa"/>
            </w:tcMar>
          </w:tcPr>
          <w:p w14:paraId="5FED8A8D" w14:textId="77777777" w:rsidR="006B4EC8" w:rsidRPr="00F90C55" w:rsidRDefault="006B4EC8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0C3D53EB" w14:textId="4A4C57FE" w:rsidR="00F90C55" w:rsidRDefault="00F90C55"/>
    <w:p w14:paraId="6DD87526" w14:textId="77777777" w:rsidR="00F90C55" w:rsidRDefault="00F90C55">
      <w:r>
        <w:br w:type="page"/>
      </w:r>
    </w:p>
    <w:p w14:paraId="43E8853D" w14:textId="77777777" w:rsidR="00F90C55" w:rsidRDefault="00F90C55"/>
    <w:p w14:paraId="5B779E0B" w14:textId="77777777" w:rsidR="008A6F5A" w:rsidRPr="00F90C55" w:rsidRDefault="008A6F5A" w:rsidP="00F90C55">
      <w:pPr>
        <w:spacing w:after="360"/>
        <w:rPr>
          <w:rFonts w:ascii="Arial" w:hAnsi="Arial" w:cs="Arial"/>
          <w:sz w:val="20"/>
          <w:szCs w:val="20"/>
        </w:rPr>
      </w:pPr>
    </w:p>
    <w:tbl>
      <w:tblPr>
        <w:tblW w:w="10233" w:type="dxa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883"/>
        <w:gridCol w:w="3858"/>
        <w:gridCol w:w="2662"/>
      </w:tblGrid>
      <w:tr w:rsidR="008A6F5A" w:rsidRPr="00F90C55" w14:paraId="20D3CB80" w14:textId="77777777" w:rsidTr="00C91167">
        <w:trPr>
          <w:trHeight w:val="526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5693B6C4" w14:textId="6F00B221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Clinical skills (continued)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7BD77084" w14:textId="1E717002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Rating 1-4</w:t>
            </w:r>
          </w:p>
        </w:tc>
        <w:tc>
          <w:tcPr>
            <w:tcW w:w="3858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130466B3" w14:textId="00E2CC01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Comments</w:t>
            </w:r>
          </w:p>
        </w:tc>
        <w:tc>
          <w:tcPr>
            <w:tcW w:w="2662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2AE4A67D" w14:textId="2EBEBF24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Resources</w:t>
            </w:r>
          </w:p>
        </w:tc>
      </w:tr>
      <w:tr w:rsidR="00C91167" w:rsidRPr="00F90C55" w14:paraId="72688FE3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1F80A872" w14:textId="5FEB6EE8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Clinical knowledge of common Australian general practice presentations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5CAEE57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52639AC" w14:textId="77777777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67F72EB" w14:textId="660AA3DA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BEACH</w:t>
            </w:r>
          </w:p>
        </w:tc>
      </w:tr>
      <w:tr w:rsidR="00C91167" w:rsidRPr="00F90C55" w14:paraId="28642736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4073FEE7" w14:textId="413CDFC6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History taking, including sensitive areas like sexual history taking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D06A8A1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437FF19E" w14:textId="77777777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E651F08" w14:textId="141EA8D9" w:rsidR="00C91167" w:rsidRPr="00F90C55" w:rsidRDefault="00DA1ADB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hyperlink r:id="rId22">
              <w:r w:rsidR="00C91167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STI Guidelines – how to take a</w:t>
              </w:r>
            </w:hyperlink>
            <w:r w:rsidR="00C91167" w:rsidRPr="00F90C55">
              <w:rPr>
                <w:rFonts w:ascii="Arial" w:hAnsi="Arial" w:cs="Arial"/>
                <w:color w:val="00AEEF"/>
                <w:sz w:val="20"/>
              </w:rPr>
              <w:t xml:space="preserve"> </w:t>
            </w:r>
            <w:hyperlink r:id="rId23">
              <w:r w:rsidR="00C91167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sexual history</w:t>
              </w:r>
            </w:hyperlink>
          </w:p>
        </w:tc>
      </w:tr>
      <w:tr w:rsidR="008A6F5A" w:rsidRPr="00F90C55" w14:paraId="0E9097B3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57B0EA66" w14:textId="3EA109CB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Physical examination, including sensitive areas like pelvic examination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91D2499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E11CE63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C276668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6F50442E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3EDEEB48" w14:textId="29CD3518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Rational use of investigations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08F4FDAE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9B4AB7E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6323CBDA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67A43E2C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62D27D0A" w14:textId="3A61D37F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Rational prescribing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4013CDA3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2C4BA5C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602E3496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6771CB61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6B477DE9" w14:textId="2F46BF09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Formulating a ‘patient-</w:t>
            </w:r>
            <w:proofErr w:type="spellStart"/>
            <w:r w:rsidRPr="00F90C55">
              <w:rPr>
                <w:rFonts w:ascii="Arial" w:hAnsi="Arial" w:cs="Arial"/>
                <w:sz w:val="20"/>
              </w:rPr>
              <w:t>centred</w:t>
            </w:r>
            <w:proofErr w:type="spellEnd"/>
            <w:r w:rsidRPr="00F90C55">
              <w:rPr>
                <w:rFonts w:ascii="Arial" w:hAnsi="Arial" w:cs="Arial"/>
                <w:sz w:val="20"/>
              </w:rPr>
              <w:t>’ management plan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0B64889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C097C92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2FCCDD8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1A57B748" w14:textId="77777777" w:rsidTr="00C91167">
        <w:trPr>
          <w:trHeight w:val="310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3A81DD83" w14:textId="620972C3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31BC089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AB6085B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46B7AED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68A4B594" w14:textId="77777777" w:rsidTr="00C91167">
        <w:trPr>
          <w:trHeight w:val="526"/>
        </w:trPr>
        <w:tc>
          <w:tcPr>
            <w:tcW w:w="2830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7591E820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Consultation</w:t>
            </w:r>
          </w:p>
        </w:tc>
        <w:tc>
          <w:tcPr>
            <w:tcW w:w="883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79830344" w14:textId="6D080BF9" w:rsidR="008A6F5A" w:rsidRPr="00F90C55" w:rsidRDefault="008A6F5A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32213A6B" w14:textId="64ECD72F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3FCAF84F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0BEDB54F" w14:textId="77777777" w:rsidTr="00C91167">
        <w:trPr>
          <w:trHeight w:val="526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11D6E887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 w:right="527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Awareness of models of the consultation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7CA33CE2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1D63B2FF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14D6B515" w14:textId="77777777" w:rsidR="008A6F5A" w:rsidRPr="00F90C55" w:rsidRDefault="00DA1ADB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hyperlink r:id="rId24">
              <w:r w:rsidR="008A6F5A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Consultation models</w:t>
              </w:r>
            </w:hyperlink>
          </w:p>
        </w:tc>
      </w:tr>
      <w:tr w:rsidR="008A6F5A" w:rsidRPr="00F90C55" w14:paraId="27DD32E9" w14:textId="77777777" w:rsidTr="00C91167">
        <w:trPr>
          <w:trHeight w:val="766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39514089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Building the doctor-patient relationship and developing rapport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7D25A161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27AD0FBC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35415EC3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284DF62B" w14:textId="77777777" w:rsidTr="00C91167">
        <w:trPr>
          <w:trHeight w:val="582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6BF6E6D7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Opening the discussion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7A02A9E8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533D2762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6C1CCF6A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7A615D9F" w14:textId="77777777" w:rsidTr="00C91167">
        <w:trPr>
          <w:trHeight w:val="766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51E98F62" w14:textId="77777777" w:rsidR="008A6F5A" w:rsidRPr="00F90C55" w:rsidRDefault="008A6F5A" w:rsidP="00F90C55">
            <w:pPr>
              <w:pStyle w:val="TableParagraph"/>
              <w:spacing w:before="9" w:line="240" w:lineRule="atLeast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Understanding the patient’s perspective and identifying the patient’s agenda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082E928C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7DB8C691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34A6B458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5834CE41" w14:textId="77777777" w:rsidTr="00C91167">
        <w:trPr>
          <w:trHeight w:val="582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04518BCF" w14:textId="77777777" w:rsidR="008A6F5A" w:rsidRPr="00F90C55" w:rsidRDefault="008A6F5A" w:rsidP="00F90C55">
            <w:pPr>
              <w:pStyle w:val="TableParagraph"/>
              <w:spacing w:before="42" w:line="278" w:lineRule="auto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Sharing information with the patient, explanations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476D3F2B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451D2C96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0B4459C7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2FB057CA" w14:textId="77777777" w:rsidTr="00C91167">
        <w:trPr>
          <w:trHeight w:val="582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7CD97ED5" w14:textId="77777777" w:rsidR="008A6F5A" w:rsidRPr="00F90C55" w:rsidRDefault="008A6F5A" w:rsidP="00F90C55">
            <w:pPr>
              <w:pStyle w:val="TableParagraph"/>
              <w:spacing w:before="42" w:line="278" w:lineRule="auto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Reaching agreement and negotiating a management plan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3EE3AECF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3FB617BC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47B96DA6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71980E32" w14:textId="77777777" w:rsidTr="00C91167">
        <w:trPr>
          <w:trHeight w:val="582"/>
        </w:trPr>
        <w:tc>
          <w:tcPr>
            <w:tcW w:w="2830" w:type="dxa"/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1B24BC19" w14:textId="77777777" w:rsidR="008A6F5A" w:rsidRPr="00F90C55" w:rsidRDefault="008A6F5A" w:rsidP="00F90C55">
            <w:pPr>
              <w:pStyle w:val="TableParagraph"/>
              <w:spacing w:before="42" w:line="278" w:lineRule="auto"/>
              <w:ind w:left="142" w:right="168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Providing closure, follow-up and safety netting</w:t>
            </w:r>
          </w:p>
        </w:tc>
        <w:tc>
          <w:tcPr>
            <w:tcW w:w="883" w:type="dxa"/>
            <w:tcMar>
              <w:top w:w="11" w:type="dxa"/>
              <w:bottom w:w="11" w:type="dxa"/>
              <w:right w:w="11" w:type="dxa"/>
            </w:tcMar>
          </w:tcPr>
          <w:p w14:paraId="6B50CB25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Mar>
              <w:top w:w="11" w:type="dxa"/>
              <w:bottom w:w="11" w:type="dxa"/>
              <w:right w:w="11" w:type="dxa"/>
            </w:tcMar>
          </w:tcPr>
          <w:p w14:paraId="158E2FE6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Mar>
              <w:top w:w="11" w:type="dxa"/>
              <w:bottom w:w="11" w:type="dxa"/>
              <w:right w:w="11" w:type="dxa"/>
            </w:tcMar>
          </w:tcPr>
          <w:p w14:paraId="0AD03BF0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8A6F5A" w:rsidRPr="00F90C55" w14:paraId="02054CCD" w14:textId="77777777" w:rsidTr="00C91167">
        <w:trPr>
          <w:trHeight w:val="524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E6E7E8"/>
            <w:tcMar>
              <w:top w:w="11" w:type="dxa"/>
              <w:bottom w:w="11" w:type="dxa"/>
              <w:right w:w="11" w:type="dxa"/>
            </w:tcMar>
          </w:tcPr>
          <w:p w14:paraId="71659437" w14:textId="77777777" w:rsidR="008A6F5A" w:rsidRPr="00F90C55" w:rsidRDefault="008A6F5A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tcMar>
              <w:top w:w="11" w:type="dxa"/>
              <w:bottom w:w="11" w:type="dxa"/>
              <w:right w:w="11" w:type="dxa"/>
            </w:tcMar>
          </w:tcPr>
          <w:p w14:paraId="60F3EC27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3858" w:type="dxa"/>
            <w:tcBorders>
              <w:bottom w:val="single" w:sz="4" w:space="0" w:color="939598"/>
            </w:tcBorders>
            <w:tcMar>
              <w:top w:w="11" w:type="dxa"/>
              <w:bottom w:w="11" w:type="dxa"/>
              <w:right w:w="11" w:type="dxa"/>
            </w:tcMar>
          </w:tcPr>
          <w:p w14:paraId="08B77CD9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939598"/>
            </w:tcBorders>
            <w:tcMar>
              <w:top w:w="11" w:type="dxa"/>
              <w:bottom w:w="11" w:type="dxa"/>
              <w:right w:w="11" w:type="dxa"/>
            </w:tcMar>
          </w:tcPr>
          <w:p w14:paraId="023D3ACC" w14:textId="77777777" w:rsidR="008A6F5A" w:rsidRPr="00F90C55" w:rsidRDefault="008A6F5A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0F04ED66" w14:textId="77777777" w:rsidR="00C91167" w:rsidRDefault="00C91167">
      <w:r>
        <w:br w:type="page"/>
      </w:r>
    </w:p>
    <w:p w14:paraId="4A4EDCBC" w14:textId="77777777" w:rsidR="00DE558E" w:rsidRPr="00F90C55" w:rsidRDefault="00DE558E" w:rsidP="00C91167">
      <w:pPr>
        <w:spacing w:after="360"/>
        <w:rPr>
          <w:rFonts w:ascii="Arial" w:hAnsi="Arial" w:cs="Arial"/>
          <w:sz w:val="20"/>
          <w:szCs w:val="20"/>
        </w:rPr>
      </w:pPr>
    </w:p>
    <w:tbl>
      <w:tblPr>
        <w:tblW w:w="10233" w:type="dxa"/>
        <w:tblInd w:w="110" w:type="dxa"/>
        <w:tblBorders>
          <w:top w:val="single" w:sz="4" w:space="0" w:color="939598"/>
          <w:left w:val="single" w:sz="4" w:space="0" w:color="939598"/>
          <w:bottom w:val="single" w:sz="4" w:space="0" w:color="939598"/>
          <w:right w:val="single" w:sz="4" w:space="0" w:color="939598"/>
          <w:insideH w:val="single" w:sz="4" w:space="0" w:color="939598"/>
          <w:insideV w:val="single" w:sz="4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883"/>
        <w:gridCol w:w="3858"/>
        <w:gridCol w:w="2662"/>
      </w:tblGrid>
      <w:tr w:rsidR="00C91167" w:rsidRPr="00F90C55" w14:paraId="085D8186" w14:textId="77777777" w:rsidTr="00C91167">
        <w:trPr>
          <w:trHeight w:val="357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11410464" w14:textId="41CDC465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Clinical reasoning skills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0652369D" w14:textId="3AF4034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Rating 1-4</w:t>
            </w:r>
          </w:p>
        </w:tc>
        <w:tc>
          <w:tcPr>
            <w:tcW w:w="3858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1B05E70D" w14:textId="3E2E9D06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Comments</w:t>
            </w:r>
          </w:p>
        </w:tc>
        <w:tc>
          <w:tcPr>
            <w:tcW w:w="2662" w:type="dxa"/>
            <w:tcBorders>
              <w:bottom w:val="single" w:sz="4" w:space="0" w:color="939598"/>
            </w:tcBorders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4C7D922C" w14:textId="1D4ACE0B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Resources</w:t>
            </w:r>
          </w:p>
        </w:tc>
      </w:tr>
      <w:tr w:rsidR="00C91167" w:rsidRPr="00F90C55" w14:paraId="45A71CF7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5B879BCE" w14:textId="19C9437A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 xml:space="preserve">Ability to weigh up, </w:t>
            </w:r>
            <w:r>
              <w:rPr>
                <w:rFonts w:ascii="Arial" w:hAnsi="Arial" w:cs="Arial"/>
                <w:sz w:val="20"/>
              </w:rPr>
              <w:br/>
            </w:r>
            <w:proofErr w:type="spellStart"/>
            <w:r w:rsidRPr="00F90C55">
              <w:rPr>
                <w:rFonts w:ascii="Arial" w:hAnsi="Arial" w:cs="Arial"/>
                <w:sz w:val="20"/>
              </w:rPr>
              <w:t>synthesise</w:t>
            </w:r>
            <w:proofErr w:type="spellEnd"/>
            <w:r w:rsidRPr="00F90C55">
              <w:rPr>
                <w:rFonts w:ascii="Arial" w:hAnsi="Arial" w:cs="Arial"/>
                <w:sz w:val="20"/>
              </w:rPr>
              <w:t xml:space="preserve"> and interpret information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C712079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AF7BEB7" w14:textId="0035E870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D5C3697" w14:textId="79BE00C7" w:rsidR="00C91167" w:rsidRPr="00F90C55" w:rsidRDefault="00DA1ADB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hyperlink r:id="rId25">
              <w:r w:rsidR="00C91167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IM Reasoning podcasts</w:t>
              </w:r>
            </w:hyperlink>
          </w:p>
        </w:tc>
      </w:tr>
      <w:tr w:rsidR="00C91167" w:rsidRPr="00F90C55" w14:paraId="0E860CA3" w14:textId="77777777" w:rsidTr="00C91167">
        <w:trPr>
          <w:trHeight w:val="526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1286A039" w14:textId="7BDFF992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1BD59B0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68269601" w14:textId="2F22BDB9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B559D73" w14:textId="77777777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C91167" w:rsidRPr="00F90C55" w14:paraId="715096ED" w14:textId="77777777" w:rsidTr="00C91167">
        <w:trPr>
          <w:trHeight w:val="526"/>
        </w:trPr>
        <w:tc>
          <w:tcPr>
            <w:tcW w:w="2830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641B632D" w14:textId="5A764827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Professional, ethical and medicolegal issues</w:t>
            </w:r>
          </w:p>
        </w:tc>
        <w:tc>
          <w:tcPr>
            <w:tcW w:w="883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09B88EF7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08515680" w14:textId="3F3242FE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33702BE4" w14:textId="77777777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C91167" w:rsidRPr="00F90C55" w14:paraId="021CCDE7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1E6F2EE4" w14:textId="2E0814F1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Professional and ethical issues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F90C55">
              <w:rPr>
                <w:rFonts w:ascii="Arial" w:hAnsi="Arial" w:cs="Arial"/>
                <w:sz w:val="20"/>
              </w:rPr>
              <w:t>e.g. boundaries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A669907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D095DDC" w14:textId="62D51C0D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B62A33B" w14:textId="1E1419F3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MDO website</w:t>
            </w:r>
          </w:p>
        </w:tc>
      </w:tr>
      <w:tr w:rsidR="00C91167" w:rsidRPr="00F90C55" w14:paraId="051E1427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6E5364E1" w14:textId="0D32DE96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Medicolegal issues e.g. consent, confidentiality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0520FFD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73C2751" w14:textId="24A20FA4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9BD1011" w14:textId="0434341B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MDO website</w:t>
            </w:r>
          </w:p>
        </w:tc>
      </w:tr>
      <w:tr w:rsidR="00C91167" w:rsidRPr="00F90C55" w14:paraId="6E4B7F43" w14:textId="77777777" w:rsidTr="00C91167">
        <w:trPr>
          <w:trHeight w:val="526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35DDAB58" w14:textId="7391D025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4031841" w14:textId="77777777" w:rsidR="00C91167" w:rsidRPr="00F90C55" w:rsidRDefault="00C91167" w:rsidP="00C91167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5C63274" w14:textId="783ED626" w:rsidR="00C91167" w:rsidRPr="00F90C55" w:rsidRDefault="00C91167" w:rsidP="00C91167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F8A78DD" w14:textId="77777777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C91167" w:rsidRPr="00F90C55" w14:paraId="38854250" w14:textId="77777777" w:rsidTr="00C91167">
        <w:trPr>
          <w:trHeight w:val="324"/>
        </w:trPr>
        <w:tc>
          <w:tcPr>
            <w:tcW w:w="10233" w:type="dxa"/>
            <w:gridSpan w:val="4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6949350E" w14:textId="1229ED5F" w:rsidR="00C91167" w:rsidRPr="00F90C55" w:rsidRDefault="00C91167" w:rsidP="00C91167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Teaching and learning skills</w:t>
            </w:r>
          </w:p>
        </w:tc>
      </w:tr>
      <w:tr w:rsidR="00DE558E" w:rsidRPr="00F90C55" w14:paraId="7D9C684E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063E9580" w14:textId="2963312B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Identification of learning needs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9F9FC3C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64E4E21" w14:textId="7698325A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35183B01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4250170D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745A7B75" w14:textId="1799154F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Effective study and learning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4E3F32E9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6990F4C6" w14:textId="47D0955D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90B51DA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7E34765B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15911522" w14:textId="4FE9BAF9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Reflective practice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9E470CC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4BC82BD5" w14:textId="27FEF591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9466F9B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5DD6B965" w14:textId="77777777" w:rsidTr="00C91167">
        <w:trPr>
          <w:trHeight w:val="526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3DAD7439" w14:textId="0353CAE9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Receiving feedback from others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42508F97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7A16860" w14:textId="7B1F7AE9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62E0084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01F0D436" w14:textId="77777777" w:rsidTr="00C91167">
        <w:trPr>
          <w:trHeight w:val="310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119331D5" w14:textId="3E107C2A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Calling for help in the consultation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6EB7F8F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3898038" w14:textId="01BB488A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6D08B411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1CB94A3F" w14:textId="77777777" w:rsidTr="00C91167">
        <w:trPr>
          <w:trHeight w:val="310"/>
        </w:trPr>
        <w:tc>
          <w:tcPr>
            <w:tcW w:w="2830" w:type="dxa"/>
            <w:tcBorders>
              <w:bottom w:val="single" w:sz="4" w:space="0" w:color="939598"/>
            </w:tcBorders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1D7E15C9" w14:textId="3B74AA70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091692F8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4210EA7E" w14:textId="77777777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tcBorders>
              <w:bottom w:val="single" w:sz="4" w:space="0" w:color="939598"/>
            </w:tcBorders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E00B8AB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453C7A71" w14:textId="77777777" w:rsidTr="00C91167">
        <w:trPr>
          <w:trHeight w:val="310"/>
        </w:trPr>
        <w:tc>
          <w:tcPr>
            <w:tcW w:w="2830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5339B578" w14:textId="3C321558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color w:val="FFFFFF"/>
                <w:sz w:val="20"/>
              </w:rPr>
              <w:t>Personal issues</w:t>
            </w:r>
          </w:p>
        </w:tc>
        <w:tc>
          <w:tcPr>
            <w:tcW w:w="883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67F392FC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065AB7F3" w14:textId="77777777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0090A3"/>
            <w:tcMar>
              <w:top w:w="11" w:type="dxa"/>
              <w:bottom w:w="11" w:type="dxa"/>
              <w:right w:w="11" w:type="dxa"/>
            </w:tcMar>
          </w:tcPr>
          <w:p w14:paraId="614F960E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DE558E" w:rsidRPr="00F90C55" w14:paraId="0BCFBAD4" w14:textId="77777777" w:rsidTr="00C91167">
        <w:trPr>
          <w:trHeight w:val="658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20E6F302" w14:textId="3B3F03E6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Wellbeing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7055D15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03D0C1CE" w14:textId="77777777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7AA7A0C6" w14:textId="7B8560D3" w:rsidR="00DE558E" w:rsidRPr="00F90C55" w:rsidRDefault="00DA1ADB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  <w:hyperlink r:id="rId26">
              <w:r w:rsidR="00DE558E" w:rsidRPr="00F90C55">
                <w:rPr>
                  <w:rFonts w:ascii="Arial" w:hAnsi="Arial" w:cs="Arial"/>
                  <w:color w:val="00AEEF"/>
                  <w:sz w:val="20"/>
                  <w:u w:val="single" w:color="00AEEF"/>
                </w:rPr>
                <w:t>Doctors Health Advisory Service</w:t>
              </w:r>
            </w:hyperlink>
          </w:p>
        </w:tc>
      </w:tr>
      <w:tr w:rsidR="00DE558E" w:rsidRPr="00F90C55" w14:paraId="254E1E45" w14:textId="77777777" w:rsidTr="00C91167">
        <w:trPr>
          <w:trHeight w:val="619"/>
        </w:trPr>
        <w:tc>
          <w:tcPr>
            <w:tcW w:w="2830" w:type="dxa"/>
            <w:shd w:val="clear" w:color="auto" w:fill="E7E6E6" w:themeFill="background2"/>
            <w:tcMar>
              <w:top w:w="11" w:type="dxa"/>
              <w:bottom w:w="11" w:type="dxa"/>
              <w:right w:w="11" w:type="dxa"/>
            </w:tcMar>
          </w:tcPr>
          <w:p w14:paraId="3D21B13C" w14:textId="40EC0659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sz w:val="20"/>
              </w:rPr>
            </w:pPr>
            <w:r w:rsidRPr="00F90C55">
              <w:rPr>
                <w:rFonts w:ascii="Arial" w:hAnsi="Arial" w:cs="Arial"/>
                <w:sz w:val="20"/>
              </w:rPr>
              <w:t>Other</w:t>
            </w:r>
          </w:p>
        </w:tc>
        <w:tc>
          <w:tcPr>
            <w:tcW w:w="883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509931BF" w14:textId="77777777" w:rsidR="00DE558E" w:rsidRPr="00F90C55" w:rsidRDefault="00DE558E" w:rsidP="00F90C55">
            <w:pPr>
              <w:pStyle w:val="TableParagraph"/>
              <w:spacing w:before="9" w:line="240" w:lineRule="atLeast"/>
              <w:ind w:left="142" w:right="73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3858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20165C42" w14:textId="77777777" w:rsidR="00DE558E" w:rsidRPr="00F90C55" w:rsidRDefault="00DE558E" w:rsidP="00F90C55">
            <w:pPr>
              <w:pStyle w:val="TableParagraph"/>
              <w:spacing w:before="42"/>
              <w:ind w:left="142"/>
              <w:rPr>
                <w:rFonts w:ascii="Arial" w:hAnsi="Arial" w:cs="Arial"/>
                <w:color w:val="FFFFFF"/>
                <w:sz w:val="20"/>
              </w:rPr>
            </w:pPr>
          </w:p>
        </w:tc>
        <w:tc>
          <w:tcPr>
            <w:tcW w:w="2662" w:type="dxa"/>
            <w:shd w:val="clear" w:color="auto" w:fill="auto"/>
            <w:tcMar>
              <w:top w:w="11" w:type="dxa"/>
              <w:bottom w:w="11" w:type="dxa"/>
              <w:right w:w="11" w:type="dxa"/>
            </w:tcMar>
          </w:tcPr>
          <w:p w14:paraId="14DE0AB9" w14:textId="77777777" w:rsidR="00DE558E" w:rsidRPr="00F90C55" w:rsidRDefault="00DE558E" w:rsidP="00F90C55">
            <w:pPr>
              <w:pStyle w:val="TableParagraph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14:paraId="64AE640C" w14:textId="77777777" w:rsidR="00DE558E" w:rsidRPr="00F90C55" w:rsidRDefault="00DE558E" w:rsidP="00F90C55">
      <w:pPr>
        <w:spacing w:after="360"/>
        <w:ind w:left="142"/>
        <w:rPr>
          <w:rFonts w:ascii="Arial" w:hAnsi="Arial" w:cs="Arial"/>
          <w:sz w:val="20"/>
          <w:szCs w:val="20"/>
        </w:rPr>
      </w:pPr>
    </w:p>
    <w:sectPr w:rsidR="00DE558E" w:rsidRPr="00F90C55" w:rsidSect="00E400D7">
      <w:headerReference w:type="default" r:id="rId27"/>
      <w:footerReference w:type="default" r:id="rId28"/>
      <w:pgSz w:w="11906" w:h="16838"/>
      <w:pgMar w:top="1383" w:right="851" w:bottom="198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71933" w14:textId="77777777" w:rsidR="00130E6A" w:rsidRDefault="00130E6A" w:rsidP="005944D1">
      <w:r>
        <w:separator/>
      </w:r>
    </w:p>
  </w:endnote>
  <w:endnote w:type="continuationSeparator" w:id="0">
    <w:p w14:paraId="49CC88DF" w14:textId="77777777" w:rsidR="00130E6A" w:rsidRDefault="00130E6A" w:rsidP="0059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E0A2C" w14:textId="77777777" w:rsidR="005944D1" w:rsidRDefault="00A91E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98F9ED4" wp14:editId="05CCEE61">
              <wp:simplePos x="0" y="0"/>
              <wp:positionH relativeFrom="column">
                <wp:posOffset>1866900</wp:posOffset>
              </wp:positionH>
              <wp:positionV relativeFrom="paragraph">
                <wp:posOffset>-128905</wp:posOffset>
              </wp:positionV>
              <wp:extent cx="4152900" cy="75120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2900" cy="7512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0C6F0D" w14:textId="77777777" w:rsidR="00A91EDD" w:rsidRPr="00A52A47" w:rsidRDefault="00A91EDD" w:rsidP="00A91EDD">
                          <w:pPr>
                            <w:jc w:val="right"/>
                            <w:rPr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Thank you for </w:t>
                          </w:r>
                          <w:r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creating</w:t>
                          </w:r>
                          <w:r w:rsidRPr="00A52A47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Arial" w:eastAsia="Times New Roman" w:hAnsi="Arial" w:cs="Arial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lang w:eastAsia="en-GB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a positive learning environment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8F9E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pt;margin-top:-10.15pt;width:327pt;height:5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" filled="f" stroked="f" strokeweight=".5pt">
              <v:textbox>
                <w:txbxContent>
                  <w:p w14:paraId="060C6F0D" w14:textId="77777777" w:rsidR="00A91EDD" w:rsidRPr="00A52A47" w:rsidRDefault="00A91EDD" w:rsidP="00A91EDD">
                    <w:pPr>
                      <w:jc w:val="right"/>
                      <w:rPr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Thank you for </w:t>
                    </w:r>
                    <w:r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creating</w:t>
                    </w:r>
                    <w:r w:rsidRPr="00A52A47">
                      <w:rPr>
                        <w:rFonts w:ascii="Arial" w:eastAsia="Times New Roman" w:hAnsi="Arial" w:cs="Arial"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Arial" w:eastAsia="Times New Roman" w:hAnsi="Arial" w:cs="Arial"/>
                        <w:b/>
                        <w:bCs/>
                        <w:color w:val="FFFFFF" w:themeColor="background1"/>
                        <w:sz w:val="28"/>
                        <w:szCs w:val="28"/>
                        <w:lang w:eastAsia="en-GB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a positive learning environment</w:t>
                    </w:r>
                  </w:p>
                </w:txbxContent>
              </v:textbox>
            </v:shape>
          </w:pict>
        </mc:Fallback>
      </mc:AlternateContent>
    </w:r>
    <w:r w:rsidR="00DA6959">
      <w:rPr>
        <w:noProof/>
      </w:rPr>
      <w:drawing>
        <wp:anchor distT="0" distB="0" distL="114300" distR="114300" simplePos="0" relativeHeight="251659264" behindDoc="1" locked="0" layoutInCell="1" allowOverlap="1" wp14:anchorId="21E1BE08" wp14:editId="6C43F49F">
          <wp:simplePos x="0" y="0"/>
          <wp:positionH relativeFrom="column">
            <wp:posOffset>-526530</wp:posOffset>
          </wp:positionH>
          <wp:positionV relativeFrom="paragraph">
            <wp:posOffset>-454660</wp:posOffset>
          </wp:positionV>
          <wp:extent cx="7556500" cy="1079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3A2F1" w14:textId="77777777" w:rsidR="00130E6A" w:rsidRDefault="00130E6A" w:rsidP="005944D1">
      <w:r>
        <w:separator/>
      </w:r>
    </w:p>
  </w:footnote>
  <w:footnote w:type="continuationSeparator" w:id="0">
    <w:p w14:paraId="69D8E910" w14:textId="77777777" w:rsidR="00130E6A" w:rsidRDefault="00130E6A" w:rsidP="0059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44C6" w14:textId="17E3EC3A" w:rsidR="005944D1" w:rsidRDefault="007B39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DE537" wp14:editId="2E79B19E">
              <wp:simplePos x="0" y="0"/>
              <wp:positionH relativeFrom="column">
                <wp:posOffset>-821690</wp:posOffset>
              </wp:positionH>
              <wp:positionV relativeFrom="paragraph">
                <wp:posOffset>-625475</wp:posOffset>
              </wp:positionV>
              <wp:extent cx="5920105" cy="845185"/>
              <wp:effectExtent l="0" t="0" r="0" b="571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20105" cy="845185"/>
                      </a:xfrm>
                      <a:custGeom>
                        <a:avLst/>
                        <a:gdLst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809332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844017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  <a:gd name="connsiteX0" fmla="*/ 0 w 7978140"/>
                          <a:gd name="connsiteY0" fmla="*/ 168808 h 1016809"/>
                          <a:gd name="connsiteX1" fmla="*/ 168808 w 7978140"/>
                          <a:gd name="connsiteY1" fmla="*/ 0 h 1016809"/>
                          <a:gd name="connsiteX2" fmla="*/ 7809332 w 7978140"/>
                          <a:gd name="connsiteY2" fmla="*/ 0 h 1016809"/>
                          <a:gd name="connsiteX3" fmla="*/ 7978140 w 7978140"/>
                          <a:gd name="connsiteY3" fmla="*/ 168808 h 1016809"/>
                          <a:gd name="connsiteX4" fmla="*/ 7978140 w 7978140"/>
                          <a:gd name="connsiteY4" fmla="*/ 619900 h 1016809"/>
                          <a:gd name="connsiteX5" fmla="*/ 7450744 w 7978140"/>
                          <a:gd name="connsiteY5" fmla="*/ 1012825 h 1016809"/>
                          <a:gd name="connsiteX6" fmla="*/ 168808 w 7978140"/>
                          <a:gd name="connsiteY6" fmla="*/ 1012825 h 1016809"/>
                          <a:gd name="connsiteX7" fmla="*/ 0 w 7978140"/>
                          <a:gd name="connsiteY7" fmla="*/ 844017 h 1016809"/>
                          <a:gd name="connsiteX8" fmla="*/ 0 w 7978140"/>
                          <a:gd name="connsiteY8" fmla="*/ 168808 h 1016809"/>
                          <a:gd name="connsiteX0" fmla="*/ 0 w 7978140"/>
                          <a:gd name="connsiteY0" fmla="*/ 168808 h 1012825"/>
                          <a:gd name="connsiteX1" fmla="*/ 168808 w 7978140"/>
                          <a:gd name="connsiteY1" fmla="*/ 0 h 1012825"/>
                          <a:gd name="connsiteX2" fmla="*/ 7809332 w 7978140"/>
                          <a:gd name="connsiteY2" fmla="*/ 0 h 1012825"/>
                          <a:gd name="connsiteX3" fmla="*/ 7978140 w 7978140"/>
                          <a:gd name="connsiteY3" fmla="*/ 168808 h 1012825"/>
                          <a:gd name="connsiteX4" fmla="*/ 7978140 w 7978140"/>
                          <a:gd name="connsiteY4" fmla="*/ 619900 h 1012825"/>
                          <a:gd name="connsiteX5" fmla="*/ 7450744 w 7978140"/>
                          <a:gd name="connsiteY5" fmla="*/ 1012825 h 1012825"/>
                          <a:gd name="connsiteX6" fmla="*/ 168808 w 7978140"/>
                          <a:gd name="connsiteY6" fmla="*/ 1012825 h 1012825"/>
                          <a:gd name="connsiteX7" fmla="*/ 0 w 7978140"/>
                          <a:gd name="connsiteY7" fmla="*/ 844017 h 1012825"/>
                          <a:gd name="connsiteX8" fmla="*/ 0 w 7978140"/>
                          <a:gd name="connsiteY8" fmla="*/ 168808 h 101282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7978140" h="1012825">
                            <a:moveTo>
                              <a:pt x="0" y="168808"/>
                            </a:moveTo>
                            <a:cubicBezTo>
                              <a:pt x="0" y="75578"/>
                              <a:pt x="75578" y="0"/>
                              <a:pt x="168808" y="0"/>
                            </a:cubicBezTo>
                            <a:lnTo>
                              <a:pt x="7809332" y="0"/>
                            </a:lnTo>
                            <a:cubicBezTo>
                              <a:pt x="7902562" y="0"/>
                              <a:pt x="7978140" y="75578"/>
                              <a:pt x="7978140" y="168808"/>
                            </a:cubicBezTo>
                            <a:lnTo>
                              <a:pt x="7978140" y="619900"/>
                            </a:lnTo>
                            <a:cubicBezTo>
                              <a:pt x="7978140" y="901389"/>
                              <a:pt x="7902562" y="1012826"/>
                              <a:pt x="7450744" y="1012825"/>
                            </a:cubicBezTo>
                            <a:lnTo>
                              <a:pt x="168808" y="1012825"/>
                            </a:lnTo>
                            <a:cubicBezTo>
                              <a:pt x="75578" y="1012825"/>
                              <a:pt x="0" y="937247"/>
                              <a:pt x="0" y="844017"/>
                            </a:cubicBezTo>
                            <a:lnTo>
                              <a:pt x="0" y="168808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rgbClr val="00B0F0"/>
                          </a:gs>
                          <a:gs pos="100000">
                            <a:srgbClr val="264C8D"/>
                          </a:gs>
                        </a:gsLst>
                        <a:lin ang="0" scaled="1"/>
                        <a:tileRect/>
                      </a:gra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75D629" id="Freeform 3" o:spid="_x0000_s1026" style="position:absolute;margin-left:-64.7pt;margin-top:-49.25pt;width:466.15pt;height:66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7978140,101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" path="m,168808c,75578,75578,,168808,l7809332,v93230,,168808,75578,168808,168808l7978140,619900v,281489,-75578,392926,-527396,392925l168808,1012825c75578,1012825,,937247,,844017l,168808xe" fillcolor="#00b0f0" stroked="f" strokeweight="1pt">
              <v:fill color2="#264c8d" rotate="t" angle="90" focus="100%" type="gradient"/>
              <v:stroke joinstyle="miter"/>
              <v:path arrowok="t" o:connecttype="custom" o:connectlocs="0,140867;125262,0;5794843,0;5920105,140867;5920105,517296;5528756,845185;125262,845185;0,704318;0,140867" o:connectangles="0,0,0,0,0,0,0,0,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41E5049B" wp14:editId="2E811510">
          <wp:simplePos x="0" y="0"/>
          <wp:positionH relativeFrom="column">
            <wp:posOffset>5415802</wp:posOffset>
          </wp:positionH>
          <wp:positionV relativeFrom="paragraph">
            <wp:posOffset>-237683</wp:posOffset>
          </wp:positionV>
          <wp:extent cx="1327150" cy="424815"/>
          <wp:effectExtent l="0" t="0" r="0" b="0"/>
          <wp:wrapNone/>
          <wp:docPr id="5" name="Picture 3" descr="A close-up of a logo&#10;&#10;Description automatically generated with medium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A close-up of a logo&#10;&#10;Description automatically generated with medium confidenc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C8"/>
    <w:rsid w:val="00032665"/>
    <w:rsid w:val="000D59BE"/>
    <w:rsid w:val="00130E6A"/>
    <w:rsid w:val="001A3EE7"/>
    <w:rsid w:val="00215BC3"/>
    <w:rsid w:val="00255B20"/>
    <w:rsid w:val="00312055"/>
    <w:rsid w:val="00372F5F"/>
    <w:rsid w:val="003758C5"/>
    <w:rsid w:val="004E5C9B"/>
    <w:rsid w:val="005262A0"/>
    <w:rsid w:val="00530137"/>
    <w:rsid w:val="00552342"/>
    <w:rsid w:val="005944D1"/>
    <w:rsid w:val="006B4EC8"/>
    <w:rsid w:val="006C52D4"/>
    <w:rsid w:val="006E7D4B"/>
    <w:rsid w:val="007B39ED"/>
    <w:rsid w:val="0084145D"/>
    <w:rsid w:val="00844147"/>
    <w:rsid w:val="008A6F5A"/>
    <w:rsid w:val="008D3952"/>
    <w:rsid w:val="00914BB0"/>
    <w:rsid w:val="00952955"/>
    <w:rsid w:val="009A54C4"/>
    <w:rsid w:val="00A91EDD"/>
    <w:rsid w:val="00AA36C3"/>
    <w:rsid w:val="00C04D94"/>
    <w:rsid w:val="00C75A8A"/>
    <w:rsid w:val="00C91167"/>
    <w:rsid w:val="00D44ED6"/>
    <w:rsid w:val="00D63454"/>
    <w:rsid w:val="00DA6959"/>
    <w:rsid w:val="00DE558E"/>
    <w:rsid w:val="00E400D7"/>
    <w:rsid w:val="00ED69C4"/>
    <w:rsid w:val="00F10736"/>
    <w:rsid w:val="00F15FD2"/>
    <w:rsid w:val="00F90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628371"/>
  <w15:chartTrackingRefBased/>
  <w15:docId w15:val="{033DD001-6268-7A4E-A586-1AB2A380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44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4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4D1"/>
  </w:style>
  <w:style w:type="paragraph" w:styleId="Footer">
    <w:name w:val="footer"/>
    <w:basedOn w:val="Normal"/>
    <w:link w:val="FooterChar"/>
    <w:uiPriority w:val="99"/>
    <w:unhideWhenUsed/>
    <w:rsid w:val="005944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4D1"/>
  </w:style>
  <w:style w:type="character" w:styleId="Hyperlink">
    <w:name w:val="Hyperlink"/>
    <w:basedOn w:val="DefaultParagraphFont"/>
    <w:uiPriority w:val="99"/>
    <w:unhideWhenUsed/>
    <w:rsid w:val="005944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4D1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8D3952"/>
    <w:pPr>
      <w:widowControl w:val="0"/>
      <w:autoSpaceDE w:val="0"/>
      <w:autoSpaceDN w:val="0"/>
    </w:pPr>
    <w:rPr>
      <w:rFonts w:ascii="Avenir-Light" w:eastAsia="Avenir-Light" w:hAnsi="Avenir-Light" w:cs="Avenir-Light"/>
      <w:sz w:val="46"/>
      <w:szCs w:val="4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D3952"/>
    <w:rPr>
      <w:rFonts w:ascii="Avenir-Light" w:eastAsia="Avenir-Light" w:hAnsi="Avenir-Light" w:cs="Avenir-Light"/>
      <w:sz w:val="46"/>
      <w:szCs w:val="46"/>
      <w:lang w:val="en-US"/>
    </w:rPr>
  </w:style>
  <w:style w:type="paragraph" w:customStyle="1" w:styleId="TableParagraph">
    <w:name w:val="Table Paragraph"/>
    <w:basedOn w:val="Normal"/>
    <w:uiPriority w:val="1"/>
    <w:qFormat/>
    <w:rsid w:val="008D3952"/>
    <w:pPr>
      <w:widowControl w:val="0"/>
      <w:autoSpaceDE w:val="0"/>
      <w:autoSpaceDN w:val="0"/>
      <w:ind w:left="226"/>
    </w:pPr>
    <w:rPr>
      <w:rFonts w:ascii="Avenir-Light" w:eastAsia="Avenir-Light" w:hAnsi="Avenir-Light" w:cs="Avenir-Light"/>
      <w:sz w:val="22"/>
      <w:szCs w:val="2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D39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5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rvicesaustralia.gov.au/organisations/health-professionals/subjects/mbs-education-health-professionals" TargetMode="External"/><Relationship Id="rId13" Type="http://schemas.openxmlformats.org/officeDocument/2006/relationships/hyperlink" Target="https://gpsa.org.au/aboriginal-and-torres-strait-islander-health-in-general-practice-guide/" TargetMode="External"/><Relationship Id="rId18" Type="http://schemas.openxmlformats.org/officeDocument/2006/relationships/hyperlink" Target="https://gpsa.org.au/r4-18-slang-terms-in-the-consulting-room-information-sheet/" TargetMode="External"/><Relationship Id="rId26" Type="http://schemas.openxmlformats.org/officeDocument/2006/relationships/hyperlink" Target="http://www.dhas.org.au/contact/contact-dhas-in-nsw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psa.org.au/supervision-menu/supervision-support/consultation-skills-toolbox/" TargetMode="External"/><Relationship Id="rId7" Type="http://schemas.openxmlformats.org/officeDocument/2006/relationships/hyperlink" Target="https://gpsa.org.au/fact-sheet-1-7-australian-health-system-and-medicare/" TargetMode="External"/><Relationship Id="rId12" Type="http://schemas.openxmlformats.org/officeDocument/2006/relationships/hyperlink" Target="https://gpsupervisorsaustralia.org.au/download/7155/" TargetMode="External"/><Relationship Id="rId17" Type="http://schemas.openxmlformats.org/officeDocument/2006/relationships/hyperlink" Target="https://gpsa.org.au/austalian-slang-dictionary/" TargetMode="External"/><Relationship Id="rId25" Type="http://schemas.openxmlformats.org/officeDocument/2006/relationships/hyperlink" Target="https://imreasoning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arpronunciation.com/" TargetMode="External"/><Relationship Id="rId20" Type="http://schemas.openxmlformats.org/officeDocument/2006/relationships/hyperlink" Target="http://www.examprepwebsite.com/uploads/3/8/8/3/38836793/i_feel_crook_doc_2006_version3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psupervisorsaustralia.org.au/download/8302/" TargetMode="External"/><Relationship Id="rId11" Type="http://schemas.openxmlformats.org/officeDocument/2006/relationships/hyperlink" Target="https://www.servicesaustralia.gov.au/organisations/health-professionals/subjects/pbs-education-health-professionals" TargetMode="External"/><Relationship Id="rId24" Type="http://schemas.openxmlformats.org/officeDocument/2006/relationships/hyperlink" Target="https://journals.sagepub.com/doi/pdf/10.1177/175573801347543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ctorsspeakup.com/" TargetMode="External"/><Relationship Id="rId23" Type="http://schemas.openxmlformats.org/officeDocument/2006/relationships/hyperlink" Target="http://www.sti.guidelines.org.au/resources/how-to-take-a-sexual-history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servicesaustralia.gov.au/organisations/health-professionals/subjects/pbs-education-health-professionals" TargetMode="External"/><Relationship Id="rId19" Type="http://schemas.openxmlformats.org/officeDocument/2006/relationships/hyperlink" Target="https://gpsa.org.au/r4-19-body-slang-exercise-workshee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ervicesaustralia.gov.au/organisations/health-professionals/subjects/mbs-education-health-professionals" TargetMode="External"/><Relationship Id="rId14" Type="http://schemas.openxmlformats.org/officeDocument/2006/relationships/hyperlink" Target="https://gpsupervisorsaustralia.org.au/download/7155/" TargetMode="External"/><Relationship Id="rId22" Type="http://schemas.openxmlformats.org/officeDocument/2006/relationships/hyperlink" Target="https://sti.guidelines.org.au/sexual-history/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GPCL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Jane McMahon</cp:lastModifiedBy>
  <cp:revision>2</cp:revision>
  <dcterms:created xsi:type="dcterms:W3CDTF">2024-04-08T05:55:00Z</dcterms:created>
  <dcterms:modified xsi:type="dcterms:W3CDTF">2024-04-08T05:55:00Z</dcterms:modified>
</cp:coreProperties>
</file>